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16B72" w14:textId="7E4F2665" w:rsidR="005F66AF" w:rsidRPr="00D25913" w:rsidRDefault="005F66AF" w:rsidP="00D25913">
      <w:pPr>
        <w:spacing w:line="480" w:lineRule="auto"/>
        <w:rPr>
          <w:rFonts w:ascii="Times New Roman" w:hAnsi="Times New Roman" w:cs="Times New Roman"/>
        </w:rPr>
      </w:pPr>
      <w:r w:rsidRPr="00D25913">
        <w:rPr>
          <w:rFonts w:ascii="Times New Roman" w:hAnsi="Times New Roman" w:cs="Times New Roman"/>
        </w:rPr>
        <w:t xml:space="preserve">The following questions need to be answered for </w:t>
      </w:r>
      <w:r w:rsidRPr="00D25913">
        <w:rPr>
          <w:rFonts w:ascii="Times New Roman" w:hAnsi="Times New Roman" w:cs="Times New Roman"/>
          <w:b/>
          <w:bCs/>
        </w:rPr>
        <w:t>(</w:t>
      </w:r>
      <w:r w:rsidRPr="00D25913">
        <w:rPr>
          <w:rFonts w:ascii="Times New Roman" w:hAnsi="Times New Roman" w:cs="Times New Roman"/>
          <w:b/>
          <w:bCs/>
          <w:u w:val="single"/>
        </w:rPr>
        <w:t>Procter &amp; Gamble</w:t>
      </w:r>
      <w:r w:rsidRPr="00D25913">
        <w:rPr>
          <w:rFonts w:ascii="Times New Roman" w:hAnsi="Times New Roman" w:cs="Times New Roman"/>
          <w:b/>
          <w:bCs/>
        </w:rPr>
        <w:t xml:space="preserve">) </w:t>
      </w:r>
      <w:r w:rsidRPr="00D25913">
        <w:rPr>
          <w:rFonts w:ascii="Times New Roman" w:hAnsi="Times New Roman" w:cs="Times New Roman"/>
        </w:rPr>
        <w:t>the company:</w:t>
      </w:r>
    </w:p>
    <w:p w14:paraId="6AC1A26B" w14:textId="366161EC" w:rsidR="000137AE" w:rsidRPr="00D25913" w:rsidRDefault="005F66AF" w:rsidP="00D25913">
      <w:pPr>
        <w:spacing w:line="480" w:lineRule="auto"/>
        <w:rPr>
          <w:rFonts w:ascii="Times New Roman" w:hAnsi="Times New Roman" w:cs="Times New Roman"/>
          <w:b/>
        </w:rPr>
      </w:pPr>
      <w:r w:rsidRPr="00D25913">
        <w:rPr>
          <w:rFonts w:ascii="Times New Roman" w:hAnsi="Times New Roman" w:cs="Times New Roman"/>
          <w:b/>
        </w:rPr>
        <w:t>(1)</w:t>
      </w:r>
      <w:r w:rsidR="000137AE" w:rsidRPr="00D25913">
        <w:rPr>
          <w:rFonts w:ascii="Times New Roman" w:hAnsi="Times New Roman" w:cs="Times New Roman"/>
          <w:b/>
        </w:rPr>
        <w:t>. Estimate</w:t>
      </w:r>
      <w:r w:rsidRPr="00D25913">
        <w:rPr>
          <w:rFonts w:ascii="Times New Roman" w:hAnsi="Times New Roman" w:cs="Times New Roman"/>
          <w:b/>
        </w:rPr>
        <w:t xml:space="preserve"> the firm’s value by using the Dividends-Based Valuation Model in Chapter 8. Compare the firm’s stock market value to the intrinsic value you calculated and explain the difference in values. </w:t>
      </w:r>
    </w:p>
    <w:p w14:paraId="63AFFC21"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The following data about Procter and Gamble Company was obtained from </w:t>
      </w:r>
      <w:proofErr w:type="spellStart"/>
      <w:r w:rsidRPr="004F64FE">
        <w:rPr>
          <w:rFonts w:ascii="Times New Roman" w:hAnsi="Times New Roman" w:cs="Times New Roman"/>
        </w:rPr>
        <w:t>Marketbeat</w:t>
      </w:r>
      <w:proofErr w:type="spellEnd"/>
      <w:r w:rsidRPr="004F64FE">
        <w:rPr>
          <w:rFonts w:ascii="Times New Roman" w:hAnsi="Times New Roman" w:cs="Times New Roman"/>
        </w:rPr>
        <w:t xml:space="preserve"> (2021)</w:t>
      </w:r>
    </w:p>
    <w:p w14:paraId="4BC1A8E5"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The annual dividend per share for Procter and Gamble is $3.48</w:t>
      </w:r>
    </w:p>
    <w:p w14:paraId="5F79270A"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The average dividend growth rate of the company every year is 4.42%</w:t>
      </w:r>
    </w:p>
    <w:p w14:paraId="45DBA045"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Total dividends given out by Procter and Gamble Company are 67.97% of the total earnings.</w:t>
      </w:r>
    </w:p>
    <w:p w14:paraId="434F5A50"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Currently, the return on investment is 14.81%. </w:t>
      </w:r>
    </w:p>
    <w:p w14:paraId="288B7A95" w14:textId="49D758A7" w:rsidR="006D125D" w:rsidRDefault="006D125D" w:rsidP="0037161A">
      <w:pPr>
        <w:spacing w:line="480" w:lineRule="auto"/>
        <w:ind w:firstLine="720"/>
        <w:rPr>
          <w:rFonts w:ascii="Times New Roman" w:hAnsi="Times New Roman" w:cs="Times New Roman"/>
        </w:rPr>
      </w:pPr>
      <w:r>
        <w:rPr>
          <w:rFonts w:ascii="Times New Roman" w:hAnsi="Times New Roman" w:cs="Times New Roman"/>
        </w:rPr>
        <w:t xml:space="preserve">With the above values, it is now relatively easier to compute the value of the firm using </w:t>
      </w:r>
    </w:p>
    <w:p w14:paraId="56489530" w14:textId="03AF8A47" w:rsid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The constant growth value is therefore </w:t>
      </w:r>
      <w:r w:rsidR="006D125D" w:rsidRPr="006D125D">
        <w:rPr>
          <w:rFonts w:ascii="Times New Roman" w:hAnsi="Times New Roman" w:cs="Times New Roman"/>
        </w:rPr>
        <w:t>the Dividends-Based Valuation Model</w:t>
      </w:r>
      <w:r w:rsidR="006D125D">
        <w:rPr>
          <w:rFonts w:ascii="Times New Roman" w:hAnsi="Times New Roman" w:cs="Times New Roman"/>
        </w:rPr>
        <w:t xml:space="preserve"> learned in chapter 8. </w:t>
      </w:r>
      <w:r w:rsidR="005C1170">
        <w:rPr>
          <w:rFonts w:ascii="Times New Roman" w:hAnsi="Times New Roman" w:cs="Times New Roman"/>
        </w:rPr>
        <w:t xml:space="preserve">To compute the stock value, the figures of the following should be available for the Procter &amp; Gamble Company; dividend per share, the required rate of return and the aggregate rate of growth of the dividends. To compute the company’s stock value, we will divide the value of dividends per share by the difference between the required rate of return and dividend growth rate as follows. </w:t>
      </w:r>
    </w:p>
    <w:p w14:paraId="5E7C7AD3" w14:textId="2E059591" w:rsidR="005C1170" w:rsidRDefault="005C1170" w:rsidP="004F64FE">
      <w:pPr>
        <w:spacing w:line="480" w:lineRule="auto"/>
        <w:rPr>
          <w:rFonts w:ascii="Times New Roman" w:hAnsi="Times New Roman" w:cs="Times New Roman"/>
        </w:rPr>
      </w:pPr>
      <w:r>
        <w:rPr>
          <w:rFonts w:ascii="Times New Roman" w:hAnsi="Times New Roman" w:cs="Times New Roman"/>
        </w:rPr>
        <w:t>Procter &amp; Gamble Dividend per share = $3.48</w:t>
      </w:r>
    </w:p>
    <w:p w14:paraId="005878C0" w14:textId="3AE2B385" w:rsidR="005C1170" w:rsidRDefault="005C1170" w:rsidP="004F64FE">
      <w:pPr>
        <w:spacing w:line="480" w:lineRule="auto"/>
        <w:rPr>
          <w:rFonts w:ascii="Times New Roman" w:hAnsi="Times New Roman" w:cs="Times New Roman"/>
        </w:rPr>
      </w:pPr>
      <w:r>
        <w:rPr>
          <w:rFonts w:ascii="Times New Roman" w:hAnsi="Times New Roman" w:cs="Times New Roman"/>
        </w:rPr>
        <w:t>The required rate of return = 6.59%</w:t>
      </w:r>
    </w:p>
    <w:p w14:paraId="1848C60E" w14:textId="3833FE6E" w:rsidR="005C1170" w:rsidRDefault="005C1170" w:rsidP="004F64FE">
      <w:pPr>
        <w:spacing w:line="480" w:lineRule="auto"/>
        <w:rPr>
          <w:rFonts w:ascii="Times New Roman" w:hAnsi="Times New Roman" w:cs="Times New Roman"/>
        </w:rPr>
      </w:pPr>
      <w:r>
        <w:rPr>
          <w:rFonts w:ascii="Times New Roman" w:hAnsi="Times New Roman" w:cs="Times New Roman"/>
        </w:rPr>
        <w:t>The dividends growth rate of the company = 5.39%</w:t>
      </w:r>
    </w:p>
    <w:p w14:paraId="7A841559" w14:textId="60D5E385" w:rsidR="005C1170" w:rsidRDefault="005C1170" w:rsidP="004F64FE">
      <w:pPr>
        <w:spacing w:line="480" w:lineRule="auto"/>
        <w:rPr>
          <w:rFonts w:ascii="Times New Roman" w:hAnsi="Times New Roman" w:cs="Times New Roman"/>
        </w:rPr>
      </w:pPr>
      <w:r>
        <w:rPr>
          <w:rFonts w:ascii="Times New Roman" w:hAnsi="Times New Roman" w:cs="Times New Roman"/>
        </w:rPr>
        <w:t>The stock value = $3.48/ (6.59%</w:t>
      </w:r>
      <w:r w:rsidR="00AF2C58">
        <w:rPr>
          <w:rFonts w:ascii="Times New Roman" w:hAnsi="Times New Roman" w:cs="Times New Roman"/>
        </w:rPr>
        <w:t xml:space="preserve"> </w:t>
      </w:r>
      <w:r>
        <w:rPr>
          <w:rFonts w:ascii="Times New Roman" w:hAnsi="Times New Roman" w:cs="Times New Roman"/>
        </w:rPr>
        <w:t>-</w:t>
      </w:r>
      <w:r w:rsidR="00AF2C58">
        <w:rPr>
          <w:rFonts w:ascii="Times New Roman" w:hAnsi="Times New Roman" w:cs="Times New Roman"/>
        </w:rPr>
        <w:t xml:space="preserve"> </w:t>
      </w:r>
      <w:r>
        <w:rPr>
          <w:rFonts w:ascii="Times New Roman" w:hAnsi="Times New Roman" w:cs="Times New Roman"/>
        </w:rPr>
        <w:t>5.39%)</w:t>
      </w:r>
    </w:p>
    <w:p w14:paraId="709F7DCF" w14:textId="77777777" w:rsidR="00AC1BB0" w:rsidRDefault="005C1170" w:rsidP="00AC1BB0">
      <w:pPr>
        <w:spacing w:line="480" w:lineRule="auto"/>
        <w:rPr>
          <w:rFonts w:ascii="Times New Roman" w:hAnsi="Times New Roman" w:cs="Times New Roman"/>
        </w:rPr>
      </w:pPr>
      <w:r>
        <w:rPr>
          <w:rFonts w:ascii="Times New Roman" w:hAnsi="Times New Roman" w:cs="Times New Roman"/>
        </w:rPr>
        <w:t>=</w:t>
      </w:r>
      <w:r w:rsidR="00AF2C58">
        <w:rPr>
          <w:rFonts w:ascii="Times New Roman" w:hAnsi="Times New Roman" w:cs="Times New Roman"/>
        </w:rPr>
        <w:t xml:space="preserve"> $</w:t>
      </w:r>
      <w:r w:rsidRPr="005C1170">
        <w:rPr>
          <w:rFonts w:ascii="Times New Roman" w:hAnsi="Times New Roman" w:cs="Times New Roman"/>
        </w:rPr>
        <w:t>290</w:t>
      </w:r>
    </w:p>
    <w:p w14:paraId="0E67B373" w14:textId="16FDF5FB" w:rsidR="00E24E8E" w:rsidRPr="00D25913" w:rsidRDefault="004F64FE" w:rsidP="0037161A">
      <w:pPr>
        <w:spacing w:line="480" w:lineRule="auto"/>
        <w:ind w:firstLine="720"/>
        <w:rPr>
          <w:rFonts w:ascii="Times New Roman" w:hAnsi="Times New Roman" w:cs="Times New Roman"/>
        </w:rPr>
      </w:pPr>
      <w:r w:rsidRPr="004F64FE">
        <w:rPr>
          <w:rFonts w:ascii="Times New Roman" w:hAnsi="Times New Roman" w:cs="Times New Roman"/>
        </w:rPr>
        <w:t>The firm’s value using the Dividends-Based Valuation Model is, therefore, $</w:t>
      </w:r>
      <w:r w:rsidR="00AC1BB0">
        <w:rPr>
          <w:rFonts w:ascii="Times New Roman" w:hAnsi="Times New Roman" w:cs="Times New Roman"/>
        </w:rPr>
        <w:t>290</w:t>
      </w:r>
      <w:r w:rsidRPr="004F64FE">
        <w:rPr>
          <w:rFonts w:ascii="Times New Roman" w:hAnsi="Times New Roman" w:cs="Times New Roman"/>
        </w:rPr>
        <w:t xml:space="preserve">. </w:t>
      </w:r>
      <w:r w:rsidR="00D32847">
        <w:rPr>
          <w:rFonts w:ascii="Times New Roman" w:hAnsi="Times New Roman" w:cs="Times New Roman"/>
        </w:rPr>
        <w:t>Given that the</w:t>
      </w:r>
      <w:r w:rsidRPr="004F64FE">
        <w:rPr>
          <w:rFonts w:ascii="Times New Roman" w:hAnsi="Times New Roman" w:cs="Times New Roman"/>
        </w:rPr>
        <w:t xml:space="preserve"> current stock market value for Procter and Gamble is $133.07. This means that the stock </w:t>
      </w:r>
      <w:r w:rsidRPr="004F64FE">
        <w:rPr>
          <w:rFonts w:ascii="Times New Roman" w:hAnsi="Times New Roman" w:cs="Times New Roman"/>
        </w:rPr>
        <w:lastRenderedPageBreak/>
        <w:t xml:space="preserve">has been </w:t>
      </w:r>
      <w:r w:rsidR="00D32847">
        <w:rPr>
          <w:rFonts w:ascii="Times New Roman" w:hAnsi="Times New Roman" w:cs="Times New Roman"/>
        </w:rPr>
        <w:t>under</w:t>
      </w:r>
      <w:r w:rsidRPr="004F64FE">
        <w:rPr>
          <w:rFonts w:ascii="Times New Roman" w:hAnsi="Times New Roman" w:cs="Times New Roman"/>
        </w:rPr>
        <w:t>priced, and profit can be made available securities</w:t>
      </w:r>
      <w:r w:rsidR="000A5EED">
        <w:rPr>
          <w:rFonts w:ascii="Times New Roman" w:hAnsi="Times New Roman" w:cs="Times New Roman"/>
        </w:rPr>
        <w:t xml:space="preserve"> at ease</w:t>
      </w:r>
      <w:r w:rsidRPr="004F64FE">
        <w:rPr>
          <w:rFonts w:ascii="Times New Roman" w:hAnsi="Times New Roman" w:cs="Times New Roman"/>
        </w:rPr>
        <w:t>.</w:t>
      </w:r>
      <w:r w:rsidR="000A5EED">
        <w:rPr>
          <w:rFonts w:ascii="Times New Roman" w:hAnsi="Times New Roman" w:cs="Times New Roman"/>
        </w:rPr>
        <w:t xml:space="preserve"> In accounting, if the firms calculated value is below the</w:t>
      </w:r>
      <w:r w:rsidR="0037161A">
        <w:rPr>
          <w:rFonts w:ascii="Times New Roman" w:hAnsi="Times New Roman" w:cs="Times New Roman"/>
        </w:rPr>
        <w:t xml:space="preserve"> stock value, then the firm’s stock is overpriced and profits can only be made through short selling. On the contrary, the opposite is also true that if the value of the stock market is smaller than the firm’s value using the </w:t>
      </w:r>
      <w:r w:rsidR="0037161A" w:rsidRPr="0037161A">
        <w:rPr>
          <w:rFonts w:ascii="Times New Roman" w:hAnsi="Times New Roman" w:cs="Times New Roman"/>
        </w:rPr>
        <w:t>Dividends-Based Valuation Model</w:t>
      </w:r>
      <w:r w:rsidR="0037161A">
        <w:rPr>
          <w:rFonts w:ascii="Times New Roman" w:hAnsi="Times New Roman" w:cs="Times New Roman"/>
        </w:rPr>
        <w:t xml:space="preserve">, then it is underpriced. It is easier to make profit for an underpriced stock that the overpriced one. </w:t>
      </w:r>
    </w:p>
    <w:p w14:paraId="3B5C046A" w14:textId="77777777" w:rsidR="00E24E8E" w:rsidRPr="00D25913" w:rsidRDefault="00E24E8E" w:rsidP="00D25913">
      <w:pPr>
        <w:spacing w:line="480" w:lineRule="auto"/>
        <w:rPr>
          <w:rFonts w:ascii="Times New Roman" w:hAnsi="Times New Roman" w:cs="Times New Roman"/>
        </w:rPr>
      </w:pPr>
    </w:p>
    <w:p w14:paraId="13A9B59F" w14:textId="58EEB42D" w:rsidR="005F66AF" w:rsidRPr="00D25913" w:rsidRDefault="005F66AF" w:rsidP="00D25913">
      <w:pPr>
        <w:spacing w:line="480" w:lineRule="auto"/>
        <w:rPr>
          <w:rFonts w:ascii="Times New Roman" w:hAnsi="Times New Roman" w:cs="Times New Roman"/>
          <w:b/>
        </w:rPr>
      </w:pPr>
      <w:r w:rsidRPr="00D25913">
        <w:rPr>
          <w:rFonts w:ascii="Times New Roman" w:hAnsi="Times New Roman" w:cs="Times New Roman"/>
          <w:b/>
        </w:rPr>
        <w:t>(2)</w:t>
      </w:r>
      <w:r w:rsidR="00C818CC" w:rsidRPr="00D25913">
        <w:rPr>
          <w:rFonts w:ascii="Times New Roman" w:hAnsi="Times New Roman" w:cs="Times New Roman"/>
          <w:b/>
        </w:rPr>
        <w:t>. Estimate</w:t>
      </w:r>
      <w:r w:rsidRPr="00D25913">
        <w:rPr>
          <w:rFonts w:ascii="Times New Roman" w:hAnsi="Times New Roman" w:cs="Times New Roman"/>
          <w:b/>
        </w:rPr>
        <w:t xml:space="preserve"> the firm’s value by using the Beta theory in Chapter 12 and 13. Compare the firm’s stock market value to the intrinsic value you calculated and explain the difference in values. </w:t>
      </w:r>
    </w:p>
    <w:p w14:paraId="011DA482" w14:textId="05E0D510" w:rsidR="00F65B29" w:rsidRPr="00D25913" w:rsidRDefault="00F65B29" w:rsidP="00D25913">
      <w:pPr>
        <w:spacing w:line="480" w:lineRule="auto"/>
        <w:rPr>
          <w:rFonts w:ascii="Times New Roman" w:hAnsi="Times New Roman" w:cs="Times New Roman"/>
        </w:rPr>
      </w:pPr>
      <w:r w:rsidRPr="00D25913">
        <w:rPr>
          <w:rFonts w:ascii="Times New Roman" w:hAnsi="Times New Roman" w:cs="Times New Roman"/>
        </w:rPr>
        <w:t xml:space="preserve">Beta measures the volatility of firm. </w:t>
      </w:r>
    </w:p>
    <w:p w14:paraId="7A6BB47C" w14:textId="52B56478" w:rsidR="003D4B21" w:rsidRPr="00D25913" w:rsidRDefault="003D4B21" w:rsidP="00D25913">
      <w:pPr>
        <w:spacing w:line="480" w:lineRule="auto"/>
        <w:rPr>
          <w:rFonts w:ascii="Times New Roman" w:hAnsi="Times New Roman" w:cs="Times New Roman"/>
        </w:rPr>
      </w:pPr>
      <w:r w:rsidRPr="00D25913">
        <w:rPr>
          <w:rFonts w:ascii="Times New Roman" w:hAnsi="Times New Roman" w:cs="Times New Roman"/>
        </w:rPr>
        <w:t>The price per ratio of Procter &amp; Gamble Company is $133.07</w:t>
      </w:r>
    </w:p>
    <w:p w14:paraId="613EB108" w14:textId="6FBA2DEF" w:rsidR="003D4B21" w:rsidRPr="00D25913" w:rsidRDefault="003D4B21" w:rsidP="00D25913">
      <w:pPr>
        <w:spacing w:line="480" w:lineRule="auto"/>
        <w:rPr>
          <w:rFonts w:ascii="Times New Roman" w:hAnsi="Times New Roman" w:cs="Times New Roman"/>
        </w:rPr>
      </w:pPr>
      <w:r w:rsidRPr="00D25913">
        <w:rPr>
          <w:rFonts w:ascii="Times New Roman" w:hAnsi="Times New Roman" w:cs="Times New Roman"/>
        </w:rPr>
        <w:t xml:space="preserve">The price per ratio = </w:t>
      </w:r>
      <w:r w:rsidR="00DC5F18" w:rsidRPr="00D25913">
        <w:rPr>
          <w:rFonts w:ascii="Times New Roman" w:hAnsi="Times New Roman" w:cs="Times New Roman"/>
        </w:rPr>
        <w:t>$</w:t>
      </w:r>
      <w:r w:rsidRPr="00D25913">
        <w:rPr>
          <w:rFonts w:ascii="Times New Roman" w:hAnsi="Times New Roman" w:cs="Times New Roman"/>
        </w:rPr>
        <w:t>24.47</w:t>
      </w:r>
    </w:p>
    <w:p w14:paraId="59F8B2DC" w14:textId="4EF34C35"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 xml:space="preserve">The following is how the beta value is computed as follows </w:t>
      </w:r>
    </w:p>
    <w:p w14:paraId="08B4513E" w14:textId="58EB7E1A"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fldChar w:fldCharType="begin"/>
      </w:r>
      <w:r w:rsidRPr="00D25913">
        <w:rPr>
          <w:rFonts w:ascii="Times New Roman" w:hAnsi="Times New Roman" w:cs="Times New Roman"/>
        </w:rPr>
        <w:instrText xml:space="preserve"> LINK Excel.Sheet.12 "Book1" "Sheet2!R1C1:R9C6" \a \f 5 \h  \* MERGEFORMAT </w:instrText>
      </w:r>
      <w:r w:rsidRPr="00D25913">
        <w:rPr>
          <w:rFonts w:ascii="Times New Roman" w:hAnsi="Times New Roman" w:cs="Times New Roman"/>
        </w:rPr>
        <w:fldChar w:fldCharType="separate"/>
      </w:r>
    </w:p>
    <w:tbl>
      <w:tblPr>
        <w:tblStyle w:val="TableGrid"/>
        <w:tblW w:w="11961" w:type="dxa"/>
        <w:tblLook w:val="04A0" w:firstRow="1" w:lastRow="0" w:firstColumn="1" w:lastColumn="0" w:noHBand="0" w:noVBand="1"/>
      </w:tblPr>
      <w:tblGrid>
        <w:gridCol w:w="1360"/>
        <w:gridCol w:w="2320"/>
        <w:gridCol w:w="1961"/>
        <w:gridCol w:w="1129"/>
        <w:gridCol w:w="1595"/>
        <w:gridCol w:w="3596"/>
      </w:tblGrid>
      <w:tr w:rsidR="00941240" w:rsidRPr="00D25913" w14:paraId="56557D4A" w14:textId="77777777" w:rsidTr="00941240">
        <w:trPr>
          <w:trHeight w:val="300"/>
        </w:trPr>
        <w:tc>
          <w:tcPr>
            <w:tcW w:w="1360" w:type="dxa"/>
            <w:noWrap/>
            <w:hideMark/>
          </w:tcPr>
          <w:p w14:paraId="7883A37B"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Date</w:t>
            </w:r>
          </w:p>
        </w:tc>
        <w:tc>
          <w:tcPr>
            <w:tcW w:w="2320" w:type="dxa"/>
            <w:noWrap/>
            <w:hideMark/>
          </w:tcPr>
          <w:p w14:paraId="6D239B52"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NYSE COMPOSITE (close)</w:t>
            </w:r>
          </w:p>
        </w:tc>
        <w:tc>
          <w:tcPr>
            <w:tcW w:w="1961" w:type="dxa"/>
            <w:noWrap/>
            <w:hideMark/>
          </w:tcPr>
          <w:p w14:paraId="0A0A7986"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The Procter &amp; Gamble Company (close)</w:t>
            </w:r>
          </w:p>
        </w:tc>
        <w:tc>
          <w:tcPr>
            <w:tcW w:w="2724" w:type="dxa"/>
            <w:gridSpan w:val="2"/>
            <w:noWrap/>
            <w:hideMark/>
          </w:tcPr>
          <w:p w14:paraId="4EE4D056" w14:textId="163393C5"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 changes per day</w:t>
            </w:r>
          </w:p>
        </w:tc>
        <w:tc>
          <w:tcPr>
            <w:tcW w:w="3596" w:type="dxa"/>
            <w:noWrap/>
            <w:hideMark/>
          </w:tcPr>
          <w:p w14:paraId="3B195819" w14:textId="77777777" w:rsidR="00941240" w:rsidRPr="00D25913" w:rsidRDefault="00941240" w:rsidP="00D25913">
            <w:pPr>
              <w:spacing w:line="480" w:lineRule="auto"/>
              <w:rPr>
                <w:rFonts w:ascii="Times New Roman" w:hAnsi="Times New Roman" w:cs="Times New Roman"/>
              </w:rPr>
            </w:pPr>
          </w:p>
        </w:tc>
      </w:tr>
      <w:tr w:rsidR="00941240" w:rsidRPr="00D25913" w14:paraId="485D9712" w14:textId="77777777" w:rsidTr="00941240">
        <w:trPr>
          <w:trHeight w:val="300"/>
        </w:trPr>
        <w:tc>
          <w:tcPr>
            <w:tcW w:w="1360" w:type="dxa"/>
            <w:noWrap/>
            <w:hideMark/>
          </w:tcPr>
          <w:p w14:paraId="28B4614B"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44368</w:t>
            </w:r>
          </w:p>
        </w:tc>
        <w:tc>
          <w:tcPr>
            <w:tcW w:w="2320" w:type="dxa"/>
            <w:noWrap/>
            <w:hideMark/>
          </w:tcPr>
          <w:p w14:paraId="2B0532D2"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16411.98</w:t>
            </w:r>
          </w:p>
        </w:tc>
        <w:tc>
          <w:tcPr>
            <w:tcW w:w="1961" w:type="dxa"/>
            <w:noWrap/>
            <w:hideMark/>
          </w:tcPr>
          <w:p w14:paraId="017B5B17"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133.07</w:t>
            </w:r>
          </w:p>
        </w:tc>
        <w:tc>
          <w:tcPr>
            <w:tcW w:w="1129" w:type="dxa"/>
            <w:noWrap/>
            <w:hideMark/>
          </w:tcPr>
          <w:p w14:paraId="746228B1" w14:textId="77777777" w:rsidR="00941240" w:rsidRPr="00D25913" w:rsidRDefault="00941240" w:rsidP="00D25913">
            <w:pPr>
              <w:spacing w:line="480" w:lineRule="auto"/>
              <w:rPr>
                <w:rFonts w:ascii="Times New Roman" w:hAnsi="Times New Roman" w:cs="Times New Roman"/>
              </w:rPr>
            </w:pPr>
          </w:p>
        </w:tc>
        <w:tc>
          <w:tcPr>
            <w:tcW w:w="1595" w:type="dxa"/>
            <w:noWrap/>
            <w:hideMark/>
          </w:tcPr>
          <w:p w14:paraId="74BFF600" w14:textId="77777777" w:rsidR="00941240" w:rsidRPr="00D25913" w:rsidRDefault="00941240" w:rsidP="00D25913">
            <w:pPr>
              <w:spacing w:line="480" w:lineRule="auto"/>
              <w:rPr>
                <w:rFonts w:ascii="Times New Roman" w:hAnsi="Times New Roman" w:cs="Times New Roman"/>
              </w:rPr>
            </w:pPr>
          </w:p>
        </w:tc>
        <w:tc>
          <w:tcPr>
            <w:tcW w:w="3596" w:type="dxa"/>
            <w:noWrap/>
            <w:hideMark/>
          </w:tcPr>
          <w:p w14:paraId="034D525E" w14:textId="77777777" w:rsidR="00941240" w:rsidRPr="00D25913" w:rsidRDefault="00941240" w:rsidP="00D25913">
            <w:pPr>
              <w:spacing w:line="480" w:lineRule="auto"/>
              <w:rPr>
                <w:rFonts w:ascii="Times New Roman" w:hAnsi="Times New Roman" w:cs="Times New Roman"/>
              </w:rPr>
            </w:pPr>
          </w:p>
        </w:tc>
      </w:tr>
      <w:tr w:rsidR="00941240" w:rsidRPr="00D25913" w14:paraId="699EF845" w14:textId="77777777" w:rsidTr="00941240">
        <w:trPr>
          <w:trHeight w:val="300"/>
        </w:trPr>
        <w:tc>
          <w:tcPr>
            <w:tcW w:w="1360" w:type="dxa"/>
            <w:noWrap/>
            <w:hideMark/>
          </w:tcPr>
          <w:p w14:paraId="49796CD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44365</w:t>
            </w:r>
          </w:p>
        </w:tc>
        <w:tc>
          <w:tcPr>
            <w:tcW w:w="2320" w:type="dxa"/>
            <w:noWrap/>
            <w:hideMark/>
          </w:tcPr>
          <w:p w14:paraId="5251B379"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16143.95</w:t>
            </w:r>
          </w:p>
        </w:tc>
        <w:tc>
          <w:tcPr>
            <w:tcW w:w="1961" w:type="dxa"/>
            <w:noWrap/>
            <w:hideMark/>
          </w:tcPr>
          <w:p w14:paraId="235EFF5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132.03</w:t>
            </w:r>
          </w:p>
        </w:tc>
        <w:tc>
          <w:tcPr>
            <w:tcW w:w="1129" w:type="dxa"/>
            <w:noWrap/>
            <w:hideMark/>
          </w:tcPr>
          <w:p w14:paraId="0E76E3BC"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-0.0166</w:t>
            </w:r>
          </w:p>
        </w:tc>
        <w:tc>
          <w:tcPr>
            <w:tcW w:w="1595" w:type="dxa"/>
            <w:noWrap/>
            <w:hideMark/>
          </w:tcPr>
          <w:p w14:paraId="020B5414"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-0.00788</w:t>
            </w:r>
          </w:p>
        </w:tc>
        <w:tc>
          <w:tcPr>
            <w:tcW w:w="3596" w:type="dxa"/>
            <w:noWrap/>
            <w:hideMark/>
          </w:tcPr>
          <w:p w14:paraId="07A54043" w14:textId="77777777" w:rsidR="00941240" w:rsidRPr="00D25913" w:rsidRDefault="00941240" w:rsidP="00D25913">
            <w:pPr>
              <w:spacing w:line="480" w:lineRule="auto"/>
              <w:rPr>
                <w:rFonts w:ascii="Times New Roman" w:hAnsi="Times New Roman" w:cs="Times New Roman"/>
              </w:rPr>
            </w:pPr>
          </w:p>
        </w:tc>
      </w:tr>
      <w:tr w:rsidR="00941240" w:rsidRPr="00D25913" w14:paraId="12A0008E" w14:textId="77777777" w:rsidTr="00941240">
        <w:trPr>
          <w:trHeight w:val="300"/>
        </w:trPr>
        <w:tc>
          <w:tcPr>
            <w:tcW w:w="1360" w:type="dxa"/>
            <w:noWrap/>
            <w:hideMark/>
          </w:tcPr>
          <w:p w14:paraId="12A76D2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44364</w:t>
            </w:r>
          </w:p>
        </w:tc>
        <w:tc>
          <w:tcPr>
            <w:tcW w:w="2320" w:type="dxa"/>
            <w:noWrap/>
            <w:hideMark/>
          </w:tcPr>
          <w:p w14:paraId="3C13A359"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16411.65</w:t>
            </w:r>
          </w:p>
        </w:tc>
        <w:tc>
          <w:tcPr>
            <w:tcW w:w="1961" w:type="dxa"/>
            <w:noWrap/>
            <w:hideMark/>
          </w:tcPr>
          <w:p w14:paraId="586E64EC"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133.99</w:t>
            </w:r>
          </w:p>
        </w:tc>
        <w:tc>
          <w:tcPr>
            <w:tcW w:w="1129" w:type="dxa"/>
            <w:noWrap/>
            <w:hideMark/>
          </w:tcPr>
          <w:p w14:paraId="1E22988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0.016312</w:t>
            </w:r>
          </w:p>
        </w:tc>
        <w:tc>
          <w:tcPr>
            <w:tcW w:w="1595" w:type="dxa"/>
            <w:noWrap/>
            <w:hideMark/>
          </w:tcPr>
          <w:p w14:paraId="3042A1B4"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0.014628</w:t>
            </w:r>
          </w:p>
        </w:tc>
        <w:tc>
          <w:tcPr>
            <w:tcW w:w="3596" w:type="dxa"/>
            <w:noWrap/>
            <w:hideMark/>
          </w:tcPr>
          <w:p w14:paraId="07423961" w14:textId="77777777" w:rsidR="00941240" w:rsidRPr="00D25913" w:rsidRDefault="00941240" w:rsidP="00D25913">
            <w:pPr>
              <w:spacing w:line="480" w:lineRule="auto"/>
              <w:rPr>
                <w:rFonts w:ascii="Times New Roman" w:hAnsi="Times New Roman" w:cs="Times New Roman"/>
              </w:rPr>
            </w:pPr>
          </w:p>
        </w:tc>
      </w:tr>
      <w:tr w:rsidR="00941240" w:rsidRPr="00D25913" w14:paraId="78B85579" w14:textId="77777777" w:rsidTr="00941240">
        <w:trPr>
          <w:trHeight w:val="300"/>
        </w:trPr>
        <w:tc>
          <w:tcPr>
            <w:tcW w:w="1360" w:type="dxa"/>
            <w:noWrap/>
            <w:hideMark/>
          </w:tcPr>
          <w:p w14:paraId="1F41F18C"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44363</w:t>
            </w:r>
          </w:p>
        </w:tc>
        <w:tc>
          <w:tcPr>
            <w:tcW w:w="2320" w:type="dxa"/>
            <w:noWrap/>
            <w:hideMark/>
          </w:tcPr>
          <w:p w14:paraId="3FDC56E9"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16542.76</w:t>
            </w:r>
          </w:p>
        </w:tc>
        <w:tc>
          <w:tcPr>
            <w:tcW w:w="1961" w:type="dxa"/>
            <w:noWrap/>
            <w:hideMark/>
          </w:tcPr>
          <w:p w14:paraId="02FEF453"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132.78</w:t>
            </w:r>
          </w:p>
        </w:tc>
        <w:tc>
          <w:tcPr>
            <w:tcW w:w="1129" w:type="dxa"/>
            <w:noWrap/>
            <w:hideMark/>
          </w:tcPr>
          <w:p w14:paraId="09EFD92A"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0.007926</w:t>
            </w:r>
          </w:p>
        </w:tc>
        <w:tc>
          <w:tcPr>
            <w:tcW w:w="1595" w:type="dxa"/>
            <w:noWrap/>
            <w:hideMark/>
          </w:tcPr>
          <w:p w14:paraId="516ADEE6"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-0.00911</w:t>
            </w:r>
          </w:p>
        </w:tc>
        <w:tc>
          <w:tcPr>
            <w:tcW w:w="3596" w:type="dxa"/>
            <w:noWrap/>
            <w:hideMark/>
          </w:tcPr>
          <w:p w14:paraId="0BF608B2" w14:textId="77777777" w:rsidR="00941240" w:rsidRPr="00D25913" w:rsidRDefault="00941240" w:rsidP="00D25913">
            <w:pPr>
              <w:spacing w:line="480" w:lineRule="auto"/>
              <w:rPr>
                <w:rFonts w:ascii="Times New Roman" w:hAnsi="Times New Roman" w:cs="Times New Roman"/>
              </w:rPr>
            </w:pPr>
          </w:p>
        </w:tc>
      </w:tr>
      <w:tr w:rsidR="00941240" w:rsidRPr="00D25913" w14:paraId="263770C0" w14:textId="77777777" w:rsidTr="00941240">
        <w:trPr>
          <w:trHeight w:val="300"/>
        </w:trPr>
        <w:tc>
          <w:tcPr>
            <w:tcW w:w="1360" w:type="dxa"/>
            <w:noWrap/>
            <w:hideMark/>
          </w:tcPr>
          <w:p w14:paraId="52B407BB"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44362</w:t>
            </w:r>
          </w:p>
        </w:tc>
        <w:tc>
          <w:tcPr>
            <w:tcW w:w="2320" w:type="dxa"/>
            <w:noWrap/>
            <w:hideMark/>
          </w:tcPr>
          <w:p w14:paraId="5F9965AD"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16655.81</w:t>
            </w:r>
          </w:p>
        </w:tc>
        <w:tc>
          <w:tcPr>
            <w:tcW w:w="1961" w:type="dxa"/>
            <w:noWrap/>
            <w:hideMark/>
          </w:tcPr>
          <w:p w14:paraId="1ADE8866"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134.65</w:t>
            </w:r>
          </w:p>
        </w:tc>
        <w:tc>
          <w:tcPr>
            <w:tcW w:w="1129" w:type="dxa"/>
            <w:noWrap/>
            <w:hideMark/>
          </w:tcPr>
          <w:p w14:paraId="66236FC5"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0.006787</w:t>
            </w:r>
          </w:p>
        </w:tc>
        <w:tc>
          <w:tcPr>
            <w:tcW w:w="1595" w:type="dxa"/>
            <w:noWrap/>
            <w:hideMark/>
          </w:tcPr>
          <w:p w14:paraId="7883B3AD"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0.013888</w:t>
            </w:r>
          </w:p>
        </w:tc>
        <w:tc>
          <w:tcPr>
            <w:tcW w:w="3596" w:type="dxa"/>
            <w:noWrap/>
            <w:hideMark/>
          </w:tcPr>
          <w:p w14:paraId="6F90EF41" w14:textId="77777777" w:rsidR="00941240" w:rsidRPr="00D25913" w:rsidRDefault="00941240" w:rsidP="00D25913">
            <w:pPr>
              <w:spacing w:line="480" w:lineRule="auto"/>
              <w:rPr>
                <w:rFonts w:ascii="Times New Roman" w:hAnsi="Times New Roman" w:cs="Times New Roman"/>
              </w:rPr>
            </w:pPr>
          </w:p>
        </w:tc>
      </w:tr>
      <w:tr w:rsidR="00941240" w:rsidRPr="00D25913" w14:paraId="008F329F" w14:textId="77777777" w:rsidTr="00941240">
        <w:trPr>
          <w:trHeight w:val="300"/>
        </w:trPr>
        <w:tc>
          <w:tcPr>
            <w:tcW w:w="1360" w:type="dxa"/>
            <w:noWrap/>
            <w:hideMark/>
          </w:tcPr>
          <w:p w14:paraId="37ED2B06" w14:textId="77777777" w:rsidR="00941240" w:rsidRPr="00D25913" w:rsidRDefault="00941240" w:rsidP="00D25913">
            <w:pPr>
              <w:spacing w:line="480" w:lineRule="auto"/>
              <w:rPr>
                <w:rFonts w:ascii="Times New Roman" w:hAnsi="Times New Roman" w:cs="Times New Roman"/>
              </w:rPr>
            </w:pPr>
          </w:p>
        </w:tc>
        <w:tc>
          <w:tcPr>
            <w:tcW w:w="2320" w:type="dxa"/>
            <w:noWrap/>
            <w:hideMark/>
          </w:tcPr>
          <w:p w14:paraId="209864A4" w14:textId="77777777" w:rsidR="00941240" w:rsidRPr="00D25913" w:rsidRDefault="00941240" w:rsidP="00D25913">
            <w:pPr>
              <w:spacing w:line="480" w:lineRule="auto"/>
              <w:rPr>
                <w:rFonts w:ascii="Times New Roman" w:hAnsi="Times New Roman" w:cs="Times New Roman"/>
              </w:rPr>
            </w:pPr>
          </w:p>
        </w:tc>
        <w:tc>
          <w:tcPr>
            <w:tcW w:w="1961" w:type="dxa"/>
            <w:noWrap/>
            <w:hideMark/>
          </w:tcPr>
          <w:p w14:paraId="1159AACB" w14:textId="77777777" w:rsidR="00941240" w:rsidRPr="00D25913" w:rsidRDefault="00941240" w:rsidP="00D25913">
            <w:pPr>
              <w:spacing w:line="480" w:lineRule="auto"/>
              <w:rPr>
                <w:rFonts w:ascii="Times New Roman" w:hAnsi="Times New Roman" w:cs="Times New Roman"/>
              </w:rPr>
            </w:pPr>
          </w:p>
        </w:tc>
        <w:tc>
          <w:tcPr>
            <w:tcW w:w="1129" w:type="dxa"/>
            <w:noWrap/>
            <w:hideMark/>
          </w:tcPr>
          <w:p w14:paraId="37F9DE9A" w14:textId="77777777" w:rsidR="00941240" w:rsidRPr="00D25913" w:rsidRDefault="00941240" w:rsidP="00D25913">
            <w:pPr>
              <w:spacing w:line="480" w:lineRule="auto"/>
              <w:rPr>
                <w:rFonts w:ascii="Times New Roman" w:hAnsi="Times New Roman" w:cs="Times New Roman"/>
              </w:rPr>
            </w:pPr>
          </w:p>
        </w:tc>
        <w:tc>
          <w:tcPr>
            <w:tcW w:w="1595" w:type="dxa"/>
            <w:noWrap/>
            <w:hideMark/>
          </w:tcPr>
          <w:p w14:paraId="07DD7DE9"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Covariance</w:t>
            </w:r>
          </w:p>
        </w:tc>
        <w:tc>
          <w:tcPr>
            <w:tcW w:w="3596" w:type="dxa"/>
            <w:noWrap/>
            <w:hideMark/>
          </w:tcPr>
          <w:p w14:paraId="5733FD74" w14:textId="76433284" w:rsidR="00941240" w:rsidRPr="00D25913" w:rsidRDefault="007C6134" w:rsidP="00D25913">
            <w:pPr>
              <w:spacing w:line="480" w:lineRule="auto"/>
              <w:rPr>
                <w:rFonts w:ascii="Times New Roman" w:hAnsi="Times New Roman" w:cs="Times New Roman"/>
              </w:rPr>
            </w:pPr>
            <w:r w:rsidRPr="00D25913">
              <w:rPr>
                <w:rFonts w:ascii="Times New Roman" w:hAnsi="Times New Roman" w:cs="Times New Roman"/>
              </w:rPr>
              <w:t>0.000087466</w:t>
            </w:r>
          </w:p>
        </w:tc>
      </w:tr>
      <w:tr w:rsidR="00941240" w:rsidRPr="00D25913" w14:paraId="57879630" w14:textId="77777777" w:rsidTr="00941240">
        <w:trPr>
          <w:trHeight w:val="300"/>
        </w:trPr>
        <w:tc>
          <w:tcPr>
            <w:tcW w:w="1360" w:type="dxa"/>
            <w:noWrap/>
            <w:hideMark/>
          </w:tcPr>
          <w:p w14:paraId="1095AB52" w14:textId="77777777" w:rsidR="00941240" w:rsidRPr="00D25913" w:rsidRDefault="00941240" w:rsidP="00D25913">
            <w:pPr>
              <w:spacing w:line="480" w:lineRule="auto"/>
              <w:rPr>
                <w:rFonts w:ascii="Times New Roman" w:hAnsi="Times New Roman" w:cs="Times New Roman"/>
              </w:rPr>
            </w:pPr>
          </w:p>
        </w:tc>
        <w:tc>
          <w:tcPr>
            <w:tcW w:w="2320" w:type="dxa"/>
            <w:noWrap/>
            <w:hideMark/>
          </w:tcPr>
          <w:p w14:paraId="58DA2D0C" w14:textId="77777777" w:rsidR="00941240" w:rsidRPr="00D25913" w:rsidRDefault="00941240" w:rsidP="00D25913">
            <w:pPr>
              <w:spacing w:line="480" w:lineRule="auto"/>
              <w:rPr>
                <w:rFonts w:ascii="Times New Roman" w:hAnsi="Times New Roman" w:cs="Times New Roman"/>
              </w:rPr>
            </w:pPr>
          </w:p>
        </w:tc>
        <w:tc>
          <w:tcPr>
            <w:tcW w:w="1961" w:type="dxa"/>
            <w:noWrap/>
            <w:hideMark/>
          </w:tcPr>
          <w:p w14:paraId="44FF1CE8" w14:textId="77777777" w:rsidR="00941240" w:rsidRPr="00D25913" w:rsidRDefault="00941240" w:rsidP="00D25913">
            <w:pPr>
              <w:spacing w:line="480" w:lineRule="auto"/>
              <w:rPr>
                <w:rFonts w:ascii="Times New Roman" w:hAnsi="Times New Roman" w:cs="Times New Roman"/>
              </w:rPr>
            </w:pPr>
          </w:p>
        </w:tc>
        <w:tc>
          <w:tcPr>
            <w:tcW w:w="1129" w:type="dxa"/>
            <w:noWrap/>
            <w:hideMark/>
          </w:tcPr>
          <w:p w14:paraId="0A04D5E3" w14:textId="77777777" w:rsidR="00941240" w:rsidRPr="00D25913" w:rsidRDefault="00941240" w:rsidP="00D25913">
            <w:pPr>
              <w:spacing w:line="480" w:lineRule="auto"/>
              <w:rPr>
                <w:rFonts w:ascii="Times New Roman" w:hAnsi="Times New Roman" w:cs="Times New Roman"/>
              </w:rPr>
            </w:pPr>
          </w:p>
        </w:tc>
        <w:tc>
          <w:tcPr>
            <w:tcW w:w="1595" w:type="dxa"/>
            <w:noWrap/>
            <w:hideMark/>
          </w:tcPr>
          <w:p w14:paraId="768E24A0"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Variance</w:t>
            </w:r>
          </w:p>
        </w:tc>
        <w:tc>
          <w:tcPr>
            <w:tcW w:w="3596" w:type="dxa"/>
            <w:noWrap/>
            <w:hideMark/>
          </w:tcPr>
          <w:p w14:paraId="4620130C"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0.000129682</w:t>
            </w:r>
          </w:p>
        </w:tc>
      </w:tr>
      <w:tr w:rsidR="00941240" w:rsidRPr="00D25913" w14:paraId="507A8E5C" w14:textId="77777777" w:rsidTr="00941240">
        <w:trPr>
          <w:trHeight w:val="300"/>
        </w:trPr>
        <w:tc>
          <w:tcPr>
            <w:tcW w:w="1360" w:type="dxa"/>
            <w:noWrap/>
            <w:hideMark/>
          </w:tcPr>
          <w:p w14:paraId="07999FAF" w14:textId="77777777" w:rsidR="00941240" w:rsidRPr="00D25913" w:rsidRDefault="00941240" w:rsidP="00D25913">
            <w:pPr>
              <w:spacing w:line="480" w:lineRule="auto"/>
              <w:rPr>
                <w:rFonts w:ascii="Times New Roman" w:hAnsi="Times New Roman" w:cs="Times New Roman"/>
              </w:rPr>
            </w:pPr>
          </w:p>
        </w:tc>
        <w:tc>
          <w:tcPr>
            <w:tcW w:w="2320" w:type="dxa"/>
            <w:noWrap/>
            <w:hideMark/>
          </w:tcPr>
          <w:p w14:paraId="2B8FB3CC" w14:textId="77777777" w:rsidR="00941240" w:rsidRPr="00D25913" w:rsidRDefault="00941240" w:rsidP="00D25913">
            <w:pPr>
              <w:spacing w:line="480" w:lineRule="auto"/>
              <w:rPr>
                <w:rFonts w:ascii="Times New Roman" w:hAnsi="Times New Roman" w:cs="Times New Roman"/>
              </w:rPr>
            </w:pPr>
          </w:p>
        </w:tc>
        <w:tc>
          <w:tcPr>
            <w:tcW w:w="1961" w:type="dxa"/>
            <w:noWrap/>
            <w:hideMark/>
          </w:tcPr>
          <w:p w14:paraId="42F16DEE" w14:textId="77777777" w:rsidR="00941240" w:rsidRPr="00D25913" w:rsidRDefault="00941240" w:rsidP="00D25913">
            <w:pPr>
              <w:spacing w:line="480" w:lineRule="auto"/>
              <w:rPr>
                <w:rFonts w:ascii="Times New Roman" w:hAnsi="Times New Roman" w:cs="Times New Roman"/>
              </w:rPr>
            </w:pPr>
          </w:p>
        </w:tc>
        <w:tc>
          <w:tcPr>
            <w:tcW w:w="1129" w:type="dxa"/>
            <w:noWrap/>
            <w:hideMark/>
          </w:tcPr>
          <w:p w14:paraId="43130E9D" w14:textId="77777777" w:rsidR="00941240" w:rsidRPr="00D25913" w:rsidRDefault="00941240" w:rsidP="00D25913">
            <w:pPr>
              <w:spacing w:line="480" w:lineRule="auto"/>
              <w:rPr>
                <w:rFonts w:ascii="Times New Roman" w:hAnsi="Times New Roman" w:cs="Times New Roman"/>
              </w:rPr>
            </w:pPr>
          </w:p>
        </w:tc>
        <w:tc>
          <w:tcPr>
            <w:tcW w:w="1595" w:type="dxa"/>
            <w:noWrap/>
            <w:hideMark/>
          </w:tcPr>
          <w:p w14:paraId="4D247DFE" w14:textId="7777777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 xml:space="preserve">Beta </w:t>
            </w:r>
          </w:p>
        </w:tc>
        <w:tc>
          <w:tcPr>
            <w:tcW w:w="3596" w:type="dxa"/>
            <w:noWrap/>
            <w:hideMark/>
          </w:tcPr>
          <w:p w14:paraId="0C0254C4" w14:textId="4B54D7A1"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t>0.67</w:t>
            </w:r>
          </w:p>
        </w:tc>
      </w:tr>
    </w:tbl>
    <w:p w14:paraId="34F278FD" w14:textId="0D4ADAA7" w:rsidR="00941240" w:rsidRPr="00D25913" w:rsidRDefault="00941240" w:rsidP="00D25913">
      <w:pPr>
        <w:spacing w:line="480" w:lineRule="auto"/>
        <w:rPr>
          <w:rFonts w:ascii="Times New Roman" w:hAnsi="Times New Roman" w:cs="Times New Roman"/>
        </w:rPr>
      </w:pPr>
      <w:r w:rsidRPr="00D25913">
        <w:rPr>
          <w:rFonts w:ascii="Times New Roman" w:hAnsi="Times New Roman" w:cs="Times New Roman"/>
        </w:rPr>
        <w:fldChar w:fldCharType="end"/>
      </w:r>
    </w:p>
    <w:p w14:paraId="66321F17" w14:textId="0365FDB7" w:rsidR="00E074DF" w:rsidRDefault="00A41DFC" w:rsidP="00D25913">
      <w:pPr>
        <w:spacing w:line="480" w:lineRule="auto"/>
        <w:rPr>
          <w:rFonts w:ascii="Times New Roman" w:hAnsi="Times New Roman" w:cs="Times New Roman"/>
        </w:rPr>
      </w:pPr>
      <w:r>
        <w:rPr>
          <w:rFonts w:ascii="Times New Roman" w:hAnsi="Times New Roman" w:cs="Times New Roman"/>
        </w:rPr>
        <w:t>The value of beta is computed by dividing the covariance value by the variance value.</w:t>
      </w:r>
    </w:p>
    <w:p w14:paraId="28B87A10" w14:textId="482F7D0C" w:rsidR="009F6495" w:rsidRDefault="00A41DFC" w:rsidP="00D25913">
      <w:pPr>
        <w:spacing w:line="480" w:lineRule="auto"/>
        <w:rPr>
          <w:rFonts w:ascii="Times New Roman" w:hAnsi="Times New Roman" w:cs="Times New Roman"/>
        </w:rPr>
      </w:pPr>
      <w:r>
        <w:rPr>
          <w:rFonts w:ascii="Times New Roman" w:hAnsi="Times New Roman" w:cs="Times New Roman"/>
        </w:rPr>
        <w:t xml:space="preserve">Beta= covariance/ </w:t>
      </w:r>
      <w:r w:rsidR="009F6495">
        <w:rPr>
          <w:rFonts w:ascii="Times New Roman" w:hAnsi="Times New Roman" w:cs="Times New Roman"/>
        </w:rPr>
        <w:t xml:space="preserve">variance </w:t>
      </w:r>
    </w:p>
    <w:p w14:paraId="60DD08E7" w14:textId="70A212AD" w:rsidR="009F6495" w:rsidRDefault="009F6495" w:rsidP="00D25913">
      <w:pPr>
        <w:spacing w:line="480" w:lineRule="auto"/>
        <w:rPr>
          <w:rFonts w:ascii="Times New Roman" w:hAnsi="Times New Roman" w:cs="Times New Roman"/>
        </w:rPr>
      </w:pPr>
      <w:r>
        <w:rPr>
          <w:rFonts w:ascii="Times New Roman" w:hAnsi="Times New Roman" w:cs="Times New Roman"/>
        </w:rPr>
        <w:t>=</w:t>
      </w:r>
      <w:r w:rsidRPr="009F6495">
        <w:rPr>
          <w:rFonts w:ascii="Times New Roman" w:hAnsi="Times New Roman" w:cs="Times New Roman"/>
        </w:rPr>
        <w:t>0.000087466</w:t>
      </w:r>
      <w:r>
        <w:rPr>
          <w:rFonts w:ascii="Times New Roman" w:hAnsi="Times New Roman" w:cs="Times New Roman"/>
        </w:rPr>
        <w:t>/</w:t>
      </w:r>
      <w:r w:rsidRPr="009F6495">
        <w:rPr>
          <w:rFonts w:ascii="Times New Roman" w:hAnsi="Times New Roman" w:cs="Times New Roman"/>
        </w:rPr>
        <w:t>0.000129682</w:t>
      </w:r>
    </w:p>
    <w:p w14:paraId="14B37388" w14:textId="1F05F142" w:rsidR="009F6495" w:rsidRPr="00D25913" w:rsidRDefault="009F6495" w:rsidP="00D25913">
      <w:pPr>
        <w:spacing w:line="480" w:lineRule="auto"/>
        <w:rPr>
          <w:rFonts w:ascii="Times New Roman" w:hAnsi="Times New Roman" w:cs="Times New Roman"/>
        </w:rPr>
      </w:pPr>
      <w:r>
        <w:rPr>
          <w:rFonts w:ascii="Times New Roman" w:hAnsi="Times New Roman" w:cs="Times New Roman"/>
        </w:rPr>
        <w:t>= Approximately 0.67</w:t>
      </w:r>
    </w:p>
    <w:p w14:paraId="3929AC63" w14:textId="2A1FFBF3" w:rsidR="00F92E6D" w:rsidRDefault="00F92E6D" w:rsidP="004F64FE">
      <w:pPr>
        <w:spacing w:line="480" w:lineRule="auto"/>
        <w:ind w:firstLine="720"/>
        <w:rPr>
          <w:rFonts w:ascii="Times New Roman" w:hAnsi="Times New Roman" w:cs="Times New Roman"/>
        </w:rPr>
      </w:pPr>
      <w:r>
        <w:rPr>
          <w:rFonts w:ascii="Times New Roman" w:hAnsi="Times New Roman" w:cs="Times New Roman"/>
        </w:rPr>
        <w:t xml:space="preserve">According to chapter thirteen of the book, it is explained that the value of beta measures the situation of the systematic risk of the company. In short, it tells the relationship between the systematic risks and the total value of stock invested in a firm. </w:t>
      </w:r>
      <w:r w:rsidR="00C41D27">
        <w:rPr>
          <w:rFonts w:ascii="Times New Roman" w:hAnsi="Times New Roman" w:cs="Times New Roman"/>
        </w:rPr>
        <w:t>In accounting therefore, it is said that the beta value measures volatility of the stock in relation to the entire market. A beta value of one means that if the market value moves by one percent, the stock value also moves by one percent. In many times however, the beta value will fall either over or under one. If it falls over one, then it means that slight change in the market value changes the stock value making it more volatile. On the other hand, a beta value of below one proves that a stock is less volatile and is not more often affected by the changes in the market.</w:t>
      </w:r>
    </w:p>
    <w:p w14:paraId="70A95E7D" w14:textId="032E9701" w:rsidR="005F66AF" w:rsidRDefault="00C41D27" w:rsidP="004F64FE">
      <w:pPr>
        <w:spacing w:line="480" w:lineRule="auto"/>
        <w:ind w:firstLine="720"/>
        <w:rPr>
          <w:rFonts w:ascii="Times New Roman" w:hAnsi="Times New Roman" w:cs="Times New Roman"/>
        </w:rPr>
      </w:pPr>
      <w:r>
        <w:rPr>
          <w:rFonts w:ascii="Times New Roman" w:hAnsi="Times New Roman" w:cs="Times New Roman"/>
        </w:rPr>
        <w:t>According to the calculations above, t</w:t>
      </w:r>
      <w:r w:rsidR="004F64FE" w:rsidRPr="004F64FE">
        <w:rPr>
          <w:rFonts w:ascii="Times New Roman" w:hAnsi="Times New Roman" w:cs="Times New Roman"/>
        </w:rPr>
        <w:t>he company’s beta value is 0.67, which is less than one. This means that the stock market value of Procter &amp;</w:t>
      </w:r>
      <w:r>
        <w:rPr>
          <w:rFonts w:ascii="Times New Roman" w:hAnsi="Times New Roman" w:cs="Times New Roman"/>
        </w:rPr>
        <w:t xml:space="preserve"> Gamble C</w:t>
      </w:r>
      <w:r w:rsidR="004F64FE" w:rsidRPr="004F64FE">
        <w:rPr>
          <w:rFonts w:ascii="Times New Roman" w:hAnsi="Times New Roman" w:cs="Times New Roman"/>
        </w:rPr>
        <w:t>ompany, which is at $133.07, is less volatile, meaning that it does n</w:t>
      </w:r>
      <w:r>
        <w:rPr>
          <w:rFonts w:ascii="Times New Roman" w:hAnsi="Times New Roman" w:cs="Times New Roman"/>
        </w:rPr>
        <w:t>ot keep on swinging upwards or down</w:t>
      </w:r>
      <w:r w:rsidR="004F64FE" w:rsidRPr="004F64FE">
        <w:rPr>
          <w:rFonts w:ascii="Times New Roman" w:hAnsi="Times New Roman" w:cs="Times New Roman"/>
        </w:rPr>
        <w:t xml:space="preserve">wards.  </w:t>
      </w:r>
    </w:p>
    <w:p w14:paraId="73C794CB" w14:textId="77777777" w:rsidR="00A41DFC" w:rsidRPr="00D25913" w:rsidRDefault="00A41DFC" w:rsidP="004F64FE">
      <w:pPr>
        <w:spacing w:line="480" w:lineRule="auto"/>
        <w:ind w:firstLine="720"/>
        <w:rPr>
          <w:rFonts w:ascii="Times New Roman" w:hAnsi="Times New Roman" w:cs="Times New Roman"/>
        </w:rPr>
      </w:pPr>
    </w:p>
    <w:p w14:paraId="6A84A353" w14:textId="22654A46" w:rsidR="009D6CCD" w:rsidRPr="00D25913" w:rsidRDefault="005F66AF" w:rsidP="00D25913">
      <w:pPr>
        <w:spacing w:line="480" w:lineRule="auto"/>
        <w:rPr>
          <w:rFonts w:ascii="Times New Roman" w:hAnsi="Times New Roman" w:cs="Times New Roman"/>
          <w:b/>
        </w:rPr>
      </w:pPr>
      <w:r w:rsidRPr="00D25913">
        <w:rPr>
          <w:rFonts w:ascii="Times New Roman" w:hAnsi="Times New Roman" w:cs="Times New Roman"/>
          <w:b/>
        </w:rPr>
        <w:t>(3)</w:t>
      </w:r>
      <w:r w:rsidR="007C6134" w:rsidRPr="00D25913">
        <w:rPr>
          <w:rFonts w:ascii="Times New Roman" w:hAnsi="Times New Roman" w:cs="Times New Roman"/>
          <w:b/>
        </w:rPr>
        <w:t>. Identify</w:t>
      </w:r>
      <w:r w:rsidRPr="00D25913">
        <w:rPr>
          <w:rFonts w:ascii="Times New Roman" w:hAnsi="Times New Roman" w:cs="Times New Roman"/>
          <w:b/>
        </w:rPr>
        <w:t xml:space="preserve"> the major risks faced by the firm and whether it hedges its risk exposures or not. This information</w:t>
      </w:r>
      <w:r w:rsidR="00C949EC" w:rsidRPr="00D25913">
        <w:rPr>
          <w:rFonts w:ascii="Times New Roman" w:hAnsi="Times New Roman" w:cs="Times New Roman"/>
          <w:b/>
        </w:rPr>
        <w:t xml:space="preserve"> </w:t>
      </w:r>
      <w:r w:rsidRPr="00D25913">
        <w:rPr>
          <w:rFonts w:ascii="Times New Roman" w:hAnsi="Times New Roman" w:cs="Times New Roman"/>
          <w:b/>
        </w:rPr>
        <w:t>is typically reported in the firm’s annual report or the statements filed with the regulatory body in the firm’s</w:t>
      </w:r>
      <w:r w:rsidR="00C949EC" w:rsidRPr="00D25913">
        <w:rPr>
          <w:rFonts w:ascii="Times New Roman" w:hAnsi="Times New Roman" w:cs="Times New Roman"/>
          <w:b/>
        </w:rPr>
        <w:t xml:space="preserve"> </w:t>
      </w:r>
      <w:r w:rsidRPr="00D25913">
        <w:rPr>
          <w:rFonts w:ascii="Times New Roman" w:hAnsi="Times New Roman" w:cs="Times New Roman"/>
          <w:b/>
        </w:rPr>
        <w:t>home country.</w:t>
      </w:r>
    </w:p>
    <w:p w14:paraId="11AFA6DD"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lastRenderedPageBreak/>
        <w:t>According to the company’s official report, Procter and Gamble Company is faced with several risks in the market during its daily operations. The following are the major risks associate with the company</w:t>
      </w:r>
    </w:p>
    <w:p w14:paraId="1AA11CFE"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(a)   Credit risk</w:t>
      </w:r>
    </w:p>
    <w:p w14:paraId="31E1F24C"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(b)  Exchange rate risk</w:t>
      </w:r>
    </w:p>
    <w:p w14:paraId="44192606"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(c)   Interest rate risk</w:t>
      </w:r>
    </w:p>
    <w:p w14:paraId="13D49AE9"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(d)  Net investment risk </w:t>
      </w:r>
    </w:p>
    <w:p w14:paraId="5E47913E" w14:textId="77777777" w:rsidR="004F64FE" w:rsidRPr="004F64FE" w:rsidRDefault="004F64FE" w:rsidP="004F64FE">
      <w:pPr>
        <w:spacing w:line="480" w:lineRule="auto"/>
        <w:rPr>
          <w:rFonts w:ascii="Times New Roman" w:hAnsi="Times New Roman" w:cs="Times New Roman"/>
        </w:rPr>
      </w:pPr>
      <w:r w:rsidRPr="004F64FE">
        <w:rPr>
          <w:rFonts w:ascii="Times New Roman" w:hAnsi="Times New Roman" w:cs="Times New Roman"/>
        </w:rPr>
        <w:t xml:space="preserve">(e)   Commodity price risk, among others. </w:t>
      </w:r>
    </w:p>
    <w:p w14:paraId="7A9BE4FE" w14:textId="77777777" w:rsidR="004F64FE" w:rsidRPr="004F64FE" w:rsidRDefault="004F64FE" w:rsidP="00D32B3B">
      <w:pPr>
        <w:spacing w:line="480" w:lineRule="auto"/>
        <w:ind w:firstLine="720"/>
        <w:rPr>
          <w:rFonts w:ascii="Times New Roman" w:hAnsi="Times New Roman" w:cs="Times New Roman"/>
        </w:rPr>
      </w:pPr>
      <w:r w:rsidRPr="004F64FE">
        <w:rPr>
          <w:rFonts w:ascii="Times New Roman" w:hAnsi="Times New Roman" w:cs="Times New Roman"/>
        </w:rPr>
        <w:t xml:space="preserve">Finding ways through which the above risks can be mitigated is called hedging. Any serious firm will work tirelessly to mitigate the risks for its financial welfare. To hedge credit risk, the company has come up with well-outlined credit guidelines that dictate where one is qualified or not. The interest rate risk management is through the identification of both fixed and variable-rate debt. After that, the company now enters swamps with their counterparty, and agreements are made.  </w:t>
      </w:r>
    </w:p>
    <w:p w14:paraId="28366153" w14:textId="77777777" w:rsidR="00D32B3B" w:rsidRDefault="004F64FE" w:rsidP="00D32B3B">
      <w:pPr>
        <w:spacing w:line="480" w:lineRule="auto"/>
        <w:ind w:firstLine="720"/>
        <w:rPr>
          <w:rFonts w:ascii="Times New Roman" w:hAnsi="Times New Roman" w:cs="Times New Roman"/>
        </w:rPr>
      </w:pPr>
      <w:r w:rsidRPr="004F64FE">
        <w:rPr>
          <w:rFonts w:ascii="Times New Roman" w:hAnsi="Times New Roman" w:cs="Times New Roman"/>
        </w:rPr>
        <w:t>The company has operations in multiple countries globally and is subject to fluctuations in the value of some currencies that may cause unwanted losses. To mitigate this, the company utilizes forward contracts and introduces options with maturities of a given time. Borrowing from the foreign currency is another way Procter and Gamble Company is hedging the net investment risk. On the other hand, future and options with maturities in a provided period are a perfect way for the company to manage the commodity price risk.</w:t>
      </w:r>
      <w:r w:rsidR="002C4669">
        <w:rPr>
          <w:rFonts w:ascii="Times New Roman" w:hAnsi="Times New Roman" w:cs="Times New Roman"/>
        </w:rPr>
        <w:t xml:space="preserve"> </w:t>
      </w:r>
    </w:p>
    <w:p w14:paraId="0D8EFA14" w14:textId="49407DB3" w:rsidR="000349F9" w:rsidRPr="00D25913" w:rsidRDefault="002C4669" w:rsidP="00D32B3B">
      <w:pPr>
        <w:spacing w:line="480" w:lineRule="auto"/>
        <w:ind w:firstLine="720"/>
        <w:rPr>
          <w:rFonts w:ascii="Times New Roman" w:hAnsi="Times New Roman" w:cs="Times New Roman"/>
        </w:rPr>
      </w:pPr>
      <w:r>
        <w:rPr>
          <w:rFonts w:ascii="Times New Roman" w:hAnsi="Times New Roman" w:cs="Times New Roman"/>
        </w:rPr>
        <w:t xml:space="preserve">It is always important to understand that every firm should be situated in such a way that it can fight against the risks associated. Although they might vary, no firm can survive without making risks in the market and expect returns at the end of it. A firm avoids risks that are </w:t>
      </w:r>
      <w:r>
        <w:rPr>
          <w:rFonts w:ascii="Times New Roman" w:hAnsi="Times New Roman" w:cs="Times New Roman"/>
        </w:rPr>
        <w:lastRenderedPageBreak/>
        <w:t xml:space="preserve">unnecessary or does not guarantee any positive economic returns to it, for those that are unavoidable, it mitigates them through reducing their chances of occurrence. Procter &amp; Gamble </w:t>
      </w:r>
      <w:r w:rsidR="008614FC">
        <w:rPr>
          <w:rFonts w:ascii="Times New Roman" w:hAnsi="Times New Roman" w:cs="Times New Roman"/>
        </w:rPr>
        <w:t>Company</w:t>
      </w:r>
      <w:r>
        <w:rPr>
          <w:rFonts w:ascii="Times New Roman" w:hAnsi="Times New Roman" w:cs="Times New Roman"/>
        </w:rPr>
        <w:t xml:space="preserve"> is an example of how firms should deal with the associate risks. </w:t>
      </w:r>
      <w:r w:rsidR="008614FC">
        <w:rPr>
          <w:rFonts w:ascii="Times New Roman" w:hAnsi="Times New Roman" w:cs="Times New Roman"/>
        </w:rPr>
        <w:t xml:space="preserve">The more the company mitigates the associated risks, the better it becomes both economically and financially. </w:t>
      </w:r>
    </w:p>
    <w:p w14:paraId="411C8CFC" w14:textId="77777777" w:rsidR="000349F9" w:rsidRPr="00D25913" w:rsidRDefault="000349F9" w:rsidP="00D25913">
      <w:pPr>
        <w:spacing w:line="480" w:lineRule="auto"/>
        <w:rPr>
          <w:rFonts w:ascii="Times New Roman" w:hAnsi="Times New Roman" w:cs="Times New Roman"/>
        </w:rPr>
      </w:pPr>
    </w:p>
    <w:p w14:paraId="7F597077" w14:textId="77777777" w:rsidR="000349F9" w:rsidRPr="00D25913" w:rsidRDefault="000349F9" w:rsidP="00D25913">
      <w:pPr>
        <w:spacing w:line="480" w:lineRule="auto"/>
        <w:rPr>
          <w:rFonts w:ascii="Times New Roman" w:hAnsi="Times New Roman" w:cs="Times New Roman"/>
        </w:rPr>
      </w:pPr>
    </w:p>
    <w:p w14:paraId="253C8C07" w14:textId="77777777" w:rsidR="000349F9" w:rsidRPr="00D25913" w:rsidRDefault="000349F9" w:rsidP="00D25913">
      <w:pPr>
        <w:spacing w:line="480" w:lineRule="auto"/>
        <w:rPr>
          <w:rFonts w:ascii="Times New Roman" w:hAnsi="Times New Roman" w:cs="Times New Roman"/>
        </w:rPr>
      </w:pPr>
      <w:bookmarkStart w:id="0" w:name="_GoBack"/>
      <w:bookmarkEnd w:id="0"/>
    </w:p>
    <w:p w14:paraId="1ED4B9B1" w14:textId="77777777" w:rsidR="000349F9" w:rsidRPr="00D25913" w:rsidRDefault="000349F9" w:rsidP="00D25913">
      <w:pPr>
        <w:spacing w:line="480" w:lineRule="auto"/>
        <w:rPr>
          <w:rFonts w:ascii="Times New Roman" w:hAnsi="Times New Roman" w:cs="Times New Roman"/>
        </w:rPr>
      </w:pPr>
    </w:p>
    <w:p w14:paraId="67CA6791" w14:textId="77777777" w:rsidR="007C6134" w:rsidRPr="00D25913" w:rsidRDefault="007C6134" w:rsidP="00D25913">
      <w:pPr>
        <w:spacing w:line="480" w:lineRule="auto"/>
        <w:rPr>
          <w:rFonts w:ascii="Times New Roman" w:hAnsi="Times New Roman" w:cs="Times New Roman"/>
        </w:rPr>
      </w:pPr>
      <w:r w:rsidRPr="00D25913">
        <w:rPr>
          <w:rFonts w:ascii="Times New Roman" w:hAnsi="Times New Roman" w:cs="Times New Roman"/>
        </w:rPr>
        <w:br w:type="page"/>
      </w:r>
    </w:p>
    <w:p w14:paraId="61E48A46" w14:textId="22DF3394" w:rsidR="000349F9" w:rsidRPr="00D25913" w:rsidRDefault="000349F9" w:rsidP="00D25913">
      <w:pPr>
        <w:spacing w:line="480" w:lineRule="auto"/>
        <w:jc w:val="center"/>
        <w:rPr>
          <w:rFonts w:ascii="Times New Roman" w:hAnsi="Times New Roman" w:cs="Times New Roman"/>
        </w:rPr>
      </w:pPr>
      <w:r w:rsidRPr="00D25913">
        <w:rPr>
          <w:rFonts w:ascii="Times New Roman" w:hAnsi="Times New Roman" w:cs="Times New Roman"/>
        </w:rPr>
        <w:lastRenderedPageBreak/>
        <w:t>References</w:t>
      </w:r>
    </w:p>
    <w:p w14:paraId="17998A81" w14:textId="7275B4A7" w:rsidR="000349F9" w:rsidRPr="00D25913" w:rsidRDefault="000349F9" w:rsidP="00D25913">
      <w:pPr>
        <w:spacing w:line="480" w:lineRule="auto"/>
        <w:ind w:left="720" w:hanging="720"/>
        <w:rPr>
          <w:rFonts w:ascii="Times New Roman" w:hAnsi="Times New Roman" w:cs="Times New Roman"/>
        </w:rPr>
      </w:pPr>
      <w:proofErr w:type="spellStart"/>
      <w:r w:rsidRPr="00D25913">
        <w:rPr>
          <w:rFonts w:ascii="Times New Roman" w:hAnsi="Times New Roman" w:cs="Times New Roman"/>
        </w:rPr>
        <w:t>Marketbeat</w:t>
      </w:r>
      <w:proofErr w:type="spellEnd"/>
      <w:r w:rsidRPr="00D25913">
        <w:rPr>
          <w:rFonts w:ascii="Times New Roman" w:hAnsi="Times New Roman" w:cs="Times New Roman"/>
        </w:rPr>
        <w:t xml:space="preserve">, (2021). The Procter &amp; Gamble Dividend Yield, History &amp; Payout Ratio. Retrieved from </w:t>
      </w:r>
      <w:hyperlink r:id="rId5" w:history="1">
        <w:r w:rsidRPr="00D25913">
          <w:rPr>
            <w:rStyle w:val="Hyperlink"/>
            <w:rFonts w:ascii="Times New Roman" w:hAnsi="Times New Roman" w:cs="Times New Roman"/>
          </w:rPr>
          <w:t>https://www.marketbeat.com/stocks/NYSE/PG/dividend/</w:t>
        </w:r>
      </w:hyperlink>
      <w:r w:rsidRPr="00D25913">
        <w:rPr>
          <w:rFonts w:ascii="Times New Roman" w:hAnsi="Times New Roman" w:cs="Times New Roman"/>
        </w:rPr>
        <w:t xml:space="preserve"> accessed on June 22, 2021</w:t>
      </w:r>
    </w:p>
    <w:p w14:paraId="52404823" w14:textId="0415BD21" w:rsidR="00A05039" w:rsidRPr="00D25913" w:rsidRDefault="00A05039" w:rsidP="00D25913">
      <w:pPr>
        <w:spacing w:line="480" w:lineRule="auto"/>
        <w:ind w:left="720" w:hanging="720"/>
        <w:rPr>
          <w:rFonts w:ascii="Times New Roman" w:hAnsi="Times New Roman" w:cs="Times New Roman"/>
        </w:rPr>
      </w:pPr>
      <w:r w:rsidRPr="00D25913">
        <w:rPr>
          <w:rFonts w:ascii="Times New Roman" w:hAnsi="Times New Roman" w:cs="Times New Roman"/>
        </w:rPr>
        <w:t xml:space="preserve">Procter and gamble company official report. Retrieved from </w:t>
      </w:r>
      <w:hyperlink r:id="rId6" w:history="1">
        <w:r w:rsidRPr="00D25913">
          <w:rPr>
            <w:rStyle w:val="Hyperlink"/>
            <w:rFonts w:ascii="Times New Roman" w:hAnsi="Times New Roman" w:cs="Times New Roman"/>
          </w:rPr>
          <w:t>https://www.pg.com/annualreport2008/financials/ncfs-note6.shtml</w:t>
        </w:r>
      </w:hyperlink>
      <w:r w:rsidRPr="00D25913">
        <w:rPr>
          <w:rFonts w:ascii="Times New Roman" w:hAnsi="Times New Roman" w:cs="Times New Roman"/>
        </w:rPr>
        <w:t xml:space="preserve"> accessed on June 22, 2021</w:t>
      </w:r>
    </w:p>
    <w:p w14:paraId="3E4ABA8B" w14:textId="5FD00041" w:rsidR="007C6134" w:rsidRPr="00D25913" w:rsidRDefault="007C6134" w:rsidP="00D25913">
      <w:pPr>
        <w:spacing w:line="480" w:lineRule="auto"/>
        <w:ind w:left="720" w:hanging="720"/>
        <w:rPr>
          <w:rFonts w:ascii="Times New Roman" w:hAnsi="Times New Roman" w:cs="Times New Roman"/>
        </w:rPr>
      </w:pPr>
      <w:r w:rsidRPr="00D25913">
        <w:rPr>
          <w:rFonts w:ascii="Times New Roman" w:hAnsi="Times New Roman" w:cs="Times New Roman"/>
        </w:rPr>
        <w:t xml:space="preserve">Yahoo finance. Procter and gamble company official report. Retrieved from </w:t>
      </w:r>
      <w:hyperlink r:id="rId7" w:history="1">
        <w:r w:rsidRPr="00D25913">
          <w:rPr>
            <w:rStyle w:val="Hyperlink"/>
            <w:rFonts w:ascii="Times New Roman" w:hAnsi="Times New Roman" w:cs="Times New Roman"/>
          </w:rPr>
          <w:t>https://finance.yahoo.com/quote/%5ENYA/history?p=%5ENYA</w:t>
        </w:r>
      </w:hyperlink>
      <w:r w:rsidRPr="00D25913">
        <w:rPr>
          <w:rFonts w:ascii="Times New Roman" w:hAnsi="Times New Roman" w:cs="Times New Roman"/>
        </w:rPr>
        <w:t xml:space="preserve"> accessed on June 22, 2021</w:t>
      </w:r>
    </w:p>
    <w:p w14:paraId="4BD4CCE4" w14:textId="31065F8A" w:rsidR="007C6134" w:rsidRPr="00D25913" w:rsidRDefault="007C6134" w:rsidP="00D25913">
      <w:pPr>
        <w:spacing w:line="480" w:lineRule="auto"/>
        <w:ind w:left="720" w:hanging="720"/>
        <w:rPr>
          <w:rFonts w:ascii="Times New Roman" w:hAnsi="Times New Roman" w:cs="Times New Roman"/>
        </w:rPr>
      </w:pPr>
      <w:r w:rsidRPr="00D25913">
        <w:rPr>
          <w:rFonts w:ascii="Times New Roman" w:hAnsi="Times New Roman" w:cs="Times New Roman"/>
        </w:rPr>
        <w:t xml:space="preserve">Yahoo finance. Procter and gamble company official report. Retrieved from </w:t>
      </w:r>
      <w:hyperlink r:id="rId8" w:history="1">
        <w:r w:rsidRPr="00D25913">
          <w:rPr>
            <w:rStyle w:val="Hyperlink"/>
            <w:rFonts w:ascii="Times New Roman" w:hAnsi="Times New Roman" w:cs="Times New Roman"/>
          </w:rPr>
          <w:t>https://finance.yahoo.com/quote/PG/history?p=PG</w:t>
        </w:r>
      </w:hyperlink>
      <w:r w:rsidRPr="00D25913">
        <w:rPr>
          <w:rFonts w:ascii="Times New Roman" w:hAnsi="Times New Roman" w:cs="Times New Roman"/>
        </w:rPr>
        <w:t xml:space="preserve"> accessed on June 22, 2021</w:t>
      </w:r>
    </w:p>
    <w:sectPr w:rsidR="007C6134" w:rsidRPr="00D259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91427"/>
    <w:multiLevelType w:val="hybridMultilevel"/>
    <w:tmpl w:val="73481D2C"/>
    <w:lvl w:ilvl="0" w:tplc="A5C03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AF"/>
    <w:rsid w:val="000137AE"/>
    <w:rsid w:val="000349F9"/>
    <w:rsid w:val="000A5EED"/>
    <w:rsid w:val="002C4669"/>
    <w:rsid w:val="00346A92"/>
    <w:rsid w:val="0037161A"/>
    <w:rsid w:val="003D4B21"/>
    <w:rsid w:val="00444A7D"/>
    <w:rsid w:val="004F64FE"/>
    <w:rsid w:val="005C1170"/>
    <w:rsid w:val="005F66AF"/>
    <w:rsid w:val="00637C8A"/>
    <w:rsid w:val="006D125D"/>
    <w:rsid w:val="007C6134"/>
    <w:rsid w:val="008614FC"/>
    <w:rsid w:val="008A0E3C"/>
    <w:rsid w:val="00941240"/>
    <w:rsid w:val="00965513"/>
    <w:rsid w:val="009F6495"/>
    <w:rsid w:val="00A05039"/>
    <w:rsid w:val="00A41DFC"/>
    <w:rsid w:val="00AC1BB0"/>
    <w:rsid w:val="00AF2C58"/>
    <w:rsid w:val="00BF613F"/>
    <w:rsid w:val="00C27B0F"/>
    <w:rsid w:val="00C41D27"/>
    <w:rsid w:val="00C818CC"/>
    <w:rsid w:val="00C949EC"/>
    <w:rsid w:val="00D25913"/>
    <w:rsid w:val="00D26264"/>
    <w:rsid w:val="00D32847"/>
    <w:rsid w:val="00D32B3B"/>
    <w:rsid w:val="00D512D8"/>
    <w:rsid w:val="00DC5F18"/>
    <w:rsid w:val="00E074DF"/>
    <w:rsid w:val="00E24E8E"/>
    <w:rsid w:val="00E84EBE"/>
    <w:rsid w:val="00F010B8"/>
    <w:rsid w:val="00F34EBD"/>
    <w:rsid w:val="00F65B29"/>
    <w:rsid w:val="00F92E6D"/>
    <w:rsid w:val="00FB67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303A"/>
  <w15:chartTrackingRefBased/>
  <w15:docId w15:val="{1B4EF07B-E2BD-4A43-8071-AF689153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9F9"/>
    <w:rPr>
      <w:color w:val="0563C1" w:themeColor="hyperlink"/>
      <w:u w:val="single"/>
    </w:rPr>
  </w:style>
  <w:style w:type="paragraph" w:styleId="ListParagraph">
    <w:name w:val="List Paragraph"/>
    <w:basedOn w:val="Normal"/>
    <w:uiPriority w:val="34"/>
    <w:qFormat/>
    <w:rsid w:val="00C949EC"/>
    <w:pPr>
      <w:ind w:left="720"/>
      <w:contextualSpacing/>
    </w:pPr>
  </w:style>
  <w:style w:type="table" w:styleId="TableGrid">
    <w:name w:val="Table Grid"/>
    <w:basedOn w:val="TableNormal"/>
    <w:uiPriority w:val="39"/>
    <w:rsid w:val="009412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93065">
      <w:bodyDiv w:val="1"/>
      <w:marLeft w:val="0"/>
      <w:marRight w:val="0"/>
      <w:marTop w:val="0"/>
      <w:marBottom w:val="0"/>
      <w:divBdr>
        <w:top w:val="none" w:sz="0" w:space="0" w:color="auto"/>
        <w:left w:val="none" w:sz="0" w:space="0" w:color="auto"/>
        <w:bottom w:val="none" w:sz="0" w:space="0" w:color="auto"/>
        <w:right w:val="none" w:sz="0" w:space="0" w:color="auto"/>
      </w:divBdr>
    </w:div>
    <w:div w:id="145170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PG/history?p=PG" TargetMode="External"/><Relationship Id="rId3" Type="http://schemas.openxmlformats.org/officeDocument/2006/relationships/settings" Target="settings.xml"/><Relationship Id="rId7" Type="http://schemas.openxmlformats.org/officeDocument/2006/relationships/hyperlink" Target="https://finance.yahoo.com/quote/%5ENYA/history?p=%5E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g.com/annualreport2008/financials/ncfs-note6.shtml" TargetMode="External"/><Relationship Id="rId5" Type="http://schemas.openxmlformats.org/officeDocument/2006/relationships/hyperlink" Target="https://www.marketbeat.com/stocks/NYSE/PG/divide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6</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Simrandeep Kaur Dhaliwal</dc:creator>
  <cp:keywords/>
  <dc:description/>
  <cp:lastModifiedBy>Microsoft Office</cp:lastModifiedBy>
  <cp:revision>28</cp:revision>
  <dcterms:created xsi:type="dcterms:W3CDTF">2021-06-21T18:52:00Z</dcterms:created>
  <dcterms:modified xsi:type="dcterms:W3CDTF">2021-06-23T07:02:00Z</dcterms:modified>
</cp:coreProperties>
</file>